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7E" w:rsidRPr="00A114DC" w:rsidRDefault="00F65E7E" w:rsidP="00E915AF">
      <w:pPr>
        <w:pStyle w:val="Tytu"/>
      </w:pPr>
      <w:r w:rsidRPr="00A114DC">
        <w:t>ZARZĄDZENIE Nr</w:t>
      </w:r>
      <w:r w:rsidR="00537F07" w:rsidRPr="00A114DC">
        <w:t xml:space="preserve"> 120.11.</w:t>
      </w:r>
      <w:r w:rsidRPr="00A114DC">
        <w:t>2011</w:t>
      </w:r>
    </w:p>
    <w:p w:rsidR="00F65E7E" w:rsidRPr="00A114DC" w:rsidRDefault="00F65E7E" w:rsidP="00E915AF">
      <w:pPr>
        <w:jc w:val="center"/>
        <w:rPr>
          <w:b/>
          <w:sz w:val="24"/>
        </w:rPr>
      </w:pPr>
      <w:r w:rsidRPr="00A114DC">
        <w:rPr>
          <w:b/>
          <w:sz w:val="24"/>
        </w:rPr>
        <w:t>WÓJTA GMINY CHEŁMŻA</w:t>
      </w:r>
    </w:p>
    <w:p w:rsidR="00F65E7E" w:rsidRPr="00A114DC" w:rsidRDefault="00537F07" w:rsidP="00E915AF">
      <w:pPr>
        <w:jc w:val="center"/>
        <w:rPr>
          <w:sz w:val="24"/>
        </w:rPr>
      </w:pPr>
      <w:r w:rsidRPr="00A114DC">
        <w:rPr>
          <w:sz w:val="24"/>
        </w:rPr>
        <w:t xml:space="preserve">z dnia 16 sierpnia </w:t>
      </w:r>
      <w:r w:rsidR="00F65E7E" w:rsidRPr="00A114DC">
        <w:rPr>
          <w:sz w:val="24"/>
        </w:rPr>
        <w:t>2011 r.</w:t>
      </w:r>
    </w:p>
    <w:p w:rsidR="00F65E7E" w:rsidRPr="00A114DC" w:rsidRDefault="00F65E7E" w:rsidP="00E915AF">
      <w:pPr>
        <w:rPr>
          <w:sz w:val="24"/>
        </w:rPr>
      </w:pPr>
    </w:p>
    <w:p w:rsidR="00F65E7E" w:rsidRPr="00A114DC" w:rsidRDefault="00F65E7E" w:rsidP="00E915AF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114DC">
        <w:rPr>
          <w:rFonts w:eastAsia="Calibri"/>
          <w:b/>
          <w:bCs/>
          <w:sz w:val="24"/>
          <w:szCs w:val="24"/>
          <w:lang w:eastAsia="en-US"/>
        </w:rPr>
        <w:t>w sprawie zmiany Regulaminu organizacyjnego Urzędu Gminy Chełmża.</w:t>
      </w:r>
    </w:p>
    <w:p w:rsidR="00F65E7E" w:rsidRPr="00A114DC" w:rsidRDefault="00F65E7E" w:rsidP="00E915A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F65E7E" w:rsidRPr="00A114DC" w:rsidRDefault="00F65E7E" w:rsidP="00E915A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F65E7E" w:rsidRPr="00A114DC" w:rsidRDefault="00F65E7E" w:rsidP="00E915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14DC">
        <w:rPr>
          <w:b/>
          <w:sz w:val="24"/>
          <w:szCs w:val="24"/>
        </w:rPr>
        <w:t xml:space="preserve">        </w:t>
      </w:r>
      <w:r w:rsidRPr="00A114DC">
        <w:rPr>
          <w:sz w:val="24"/>
          <w:szCs w:val="24"/>
        </w:rPr>
        <w:t xml:space="preserve">Na  podstawie  art. 33 ust. 2 ustawy z dnia 8 marca 1990 r. o  samorządzie  gminnym </w:t>
      </w:r>
      <w:r w:rsidRPr="00A114DC">
        <w:rPr>
          <w:spacing w:val="-1"/>
          <w:sz w:val="24"/>
          <w:szCs w:val="24"/>
        </w:rPr>
        <w:t>(</w:t>
      </w:r>
      <w:proofErr w:type="spellStart"/>
      <w:r w:rsidRPr="00A114DC">
        <w:rPr>
          <w:spacing w:val="-1"/>
          <w:sz w:val="24"/>
          <w:szCs w:val="24"/>
        </w:rPr>
        <w:t>Dz.U</w:t>
      </w:r>
      <w:proofErr w:type="spellEnd"/>
      <w:r w:rsidRPr="00A114DC">
        <w:rPr>
          <w:spacing w:val="-1"/>
          <w:sz w:val="24"/>
          <w:szCs w:val="24"/>
        </w:rPr>
        <w:t xml:space="preserve">. z 2001 r. Nr 142, poz. </w:t>
      </w:r>
      <w:r w:rsidRPr="00A114DC">
        <w:rPr>
          <w:spacing w:val="-4"/>
          <w:sz w:val="24"/>
          <w:szCs w:val="24"/>
        </w:rPr>
        <w:t xml:space="preserve">1591, z 2002 r. Nr 23, poz. 220, Nr 62, poz. 558, Nr 113, poz. 984, Nr 153, poz. 1271 i Nr 214, </w:t>
      </w:r>
      <w:r w:rsidRPr="00A114DC">
        <w:rPr>
          <w:spacing w:val="-1"/>
          <w:sz w:val="24"/>
          <w:szCs w:val="24"/>
        </w:rPr>
        <w:t xml:space="preserve">poz. 1806, z 2003 r. Nr 80, poz. 717 i  Nr 162, poz. 1568, z 2004 r. Nr 102, poz. 1055 i Nr 116 </w:t>
      </w:r>
      <w:r w:rsidRPr="00A114DC">
        <w:rPr>
          <w:spacing w:val="11"/>
          <w:sz w:val="24"/>
          <w:szCs w:val="24"/>
        </w:rPr>
        <w:t>poz. 1203,</w:t>
      </w:r>
      <w:r w:rsidRPr="00A114DC">
        <w:rPr>
          <w:sz w:val="24"/>
          <w:szCs w:val="24"/>
        </w:rPr>
        <w:t xml:space="preserve">  z 2005 r.  Nr 172, poz. 1441 i  Nr 175, poz. 1457,  </w:t>
      </w:r>
      <w:r w:rsidRPr="00A114DC">
        <w:rPr>
          <w:sz w:val="24"/>
          <w:szCs w:val="24"/>
        </w:rPr>
        <w:br/>
        <w:t xml:space="preserve">z  2006 r. Nr 17, poz.128 i  Nr 181, poz. 1337,  z  2007 r. Nr 48,  poz. 327, Nr 138, poz. 974 </w:t>
      </w:r>
      <w:r w:rsidRPr="00A114DC">
        <w:rPr>
          <w:sz w:val="24"/>
          <w:szCs w:val="24"/>
        </w:rPr>
        <w:br/>
        <w:t xml:space="preserve">i Nr 173, poz. 1218,  z 2008 r. Nr 180, poz.1111 i Nr 223, poz. 1458,  z 2009 r. Nr 52, poz. 420 i Nr 157, poz. 1241 oraz z 2010 r. Nr 28,  poz. 142 i 146, Nr 40, poz. 230 i Nr 106, poz. 675), </w:t>
      </w:r>
      <w:r w:rsidRPr="00A114DC">
        <w:rPr>
          <w:rFonts w:eastAsia="Calibri"/>
          <w:bCs/>
          <w:sz w:val="24"/>
          <w:szCs w:val="24"/>
          <w:lang w:eastAsia="en-US"/>
        </w:rPr>
        <w:t>zarz</w:t>
      </w:r>
      <w:r w:rsidRPr="00A114DC">
        <w:rPr>
          <w:rFonts w:eastAsia="Calibri"/>
          <w:sz w:val="24"/>
          <w:szCs w:val="24"/>
          <w:lang w:eastAsia="en-US"/>
        </w:rPr>
        <w:t>ą</w:t>
      </w:r>
      <w:r w:rsidRPr="00A114DC">
        <w:rPr>
          <w:rFonts w:eastAsia="Calibri"/>
          <w:bCs/>
          <w:sz w:val="24"/>
          <w:szCs w:val="24"/>
          <w:lang w:eastAsia="en-US"/>
        </w:rPr>
        <w:t>dzam, co nast</w:t>
      </w:r>
      <w:r w:rsidRPr="00A114DC">
        <w:rPr>
          <w:rFonts w:eastAsia="Calibri"/>
          <w:sz w:val="24"/>
          <w:szCs w:val="24"/>
          <w:lang w:eastAsia="en-US"/>
        </w:rPr>
        <w:t>ę</w:t>
      </w:r>
      <w:r w:rsidRPr="00A114DC">
        <w:rPr>
          <w:rFonts w:eastAsia="Calibri"/>
          <w:bCs/>
          <w:sz w:val="24"/>
          <w:szCs w:val="24"/>
          <w:lang w:eastAsia="en-US"/>
        </w:rPr>
        <w:t>puje:</w:t>
      </w:r>
    </w:p>
    <w:p w:rsidR="00F65E7E" w:rsidRPr="00A114DC" w:rsidRDefault="00F65E7E" w:rsidP="00E915AF">
      <w:pPr>
        <w:tabs>
          <w:tab w:val="left" w:pos="6885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A114DC">
        <w:rPr>
          <w:rFonts w:eastAsia="Calibri"/>
          <w:b/>
          <w:sz w:val="24"/>
          <w:szCs w:val="24"/>
          <w:lang w:eastAsia="en-US"/>
        </w:rPr>
        <w:tab/>
      </w:r>
    </w:p>
    <w:p w:rsidR="00F65E7E" w:rsidRPr="00A114DC" w:rsidRDefault="00F65E7E" w:rsidP="00E915A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b/>
          <w:sz w:val="24"/>
          <w:szCs w:val="24"/>
          <w:lang w:eastAsia="en-US"/>
        </w:rPr>
        <w:t>§ 1.</w:t>
      </w:r>
      <w:r w:rsidRPr="00A114DC">
        <w:rPr>
          <w:rFonts w:eastAsia="Calibri"/>
          <w:sz w:val="24"/>
          <w:szCs w:val="24"/>
          <w:lang w:eastAsia="en-US"/>
        </w:rPr>
        <w:t xml:space="preserve"> W Regulaminie organizacyjnym Urzędu Gminy Chełmża w</w:t>
      </w:r>
      <w:r w:rsidR="00537F07" w:rsidRPr="00A114DC">
        <w:rPr>
          <w:rFonts w:eastAsia="Calibri"/>
          <w:sz w:val="24"/>
          <w:szCs w:val="24"/>
          <w:lang w:eastAsia="en-US"/>
        </w:rPr>
        <w:t xml:space="preserve">prowadzonym Zarządzeniem Nr </w:t>
      </w:r>
      <w:r w:rsidRPr="00A114DC">
        <w:rPr>
          <w:rFonts w:eastAsia="Calibri"/>
          <w:sz w:val="24"/>
          <w:szCs w:val="24"/>
          <w:lang w:eastAsia="en-US"/>
        </w:rPr>
        <w:t xml:space="preserve"> </w:t>
      </w:r>
      <w:r w:rsidR="00537F07" w:rsidRPr="00A114DC">
        <w:rPr>
          <w:rFonts w:eastAsia="Calibri"/>
          <w:sz w:val="24"/>
          <w:szCs w:val="24"/>
          <w:lang w:eastAsia="en-US"/>
        </w:rPr>
        <w:t xml:space="preserve">0152-12/2010 Wójta Gminy Chełmża z dnia 31 grudnia </w:t>
      </w:r>
      <w:r w:rsidR="008654F7">
        <w:rPr>
          <w:rFonts w:eastAsia="Calibri"/>
          <w:sz w:val="24"/>
          <w:szCs w:val="24"/>
          <w:lang w:eastAsia="en-US"/>
        </w:rPr>
        <w:t xml:space="preserve"> 2010</w:t>
      </w:r>
      <w:r w:rsidRPr="00A114DC">
        <w:rPr>
          <w:rFonts w:eastAsia="Calibri"/>
          <w:sz w:val="24"/>
          <w:szCs w:val="24"/>
          <w:lang w:eastAsia="en-US"/>
        </w:rPr>
        <w:t xml:space="preserve"> r. wprowadza się następujące zmiany:  </w:t>
      </w:r>
    </w:p>
    <w:p w:rsidR="002C74E6" w:rsidRPr="00A114DC" w:rsidRDefault="00B31563" w:rsidP="00E915A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>w</w:t>
      </w:r>
      <w:r w:rsidR="002C74E6" w:rsidRPr="00A114DC">
        <w:rPr>
          <w:rFonts w:eastAsia="Calibri"/>
          <w:sz w:val="24"/>
          <w:szCs w:val="24"/>
          <w:lang w:eastAsia="en-US"/>
        </w:rPr>
        <w:t xml:space="preserve"> § 16 </w:t>
      </w:r>
      <w:proofErr w:type="spellStart"/>
      <w:r w:rsidRPr="00A114DC">
        <w:rPr>
          <w:rFonts w:eastAsia="Calibri"/>
          <w:sz w:val="24"/>
          <w:szCs w:val="24"/>
          <w:lang w:eastAsia="en-US"/>
        </w:rPr>
        <w:t>pkt</w:t>
      </w:r>
      <w:proofErr w:type="spellEnd"/>
      <w:r w:rsidRPr="00A114DC">
        <w:rPr>
          <w:rFonts w:eastAsia="Calibri"/>
          <w:sz w:val="24"/>
          <w:szCs w:val="24"/>
          <w:lang w:eastAsia="en-US"/>
        </w:rPr>
        <w:t xml:space="preserve"> 5 otrzymuje brzmienie:</w:t>
      </w:r>
    </w:p>
    <w:p w:rsidR="00B31563" w:rsidRPr="00A114DC" w:rsidRDefault="00327948" w:rsidP="00E915AF">
      <w:pPr>
        <w:pStyle w:val="Akapitzlist"/>
        <w:autoSpaceDE w:val="0"/>
        <w:autoSpaceDN w:val="0"/>
        <w:adjustRightInd w:val="0"/>
        <w:ind w:left="426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>„ 5) Zespół ds. Ochrony Informacji N</w:t>
      </w:r>
      <w:r w:rsidR="00B31563" w:rsidRPr="00A114DC">
        <w:rPr>
          <w:rFonts w:eastAsia="Calibri"/>
          <w:sz w:val="24"/>
          <w:szCs w:val="24"/>
          <w:lang w:eastAsia="en-US"/>
        </w:rPr>
        <w:t>iejawnych</w:t>
      </w:r>
      <w:r w:rsidRPr="00A114DC">
        <w:rPr>
          <w:rFonts w:eastAsia="Calibri"/>
          <w:sz w:val="24"/>
          <w:szCs w:val="24"/>
          <w:lang w:eastAsia="en-US"/>
        </w:rPr>
        <w:t xml:space="preserve"> (</w:t>
      </w:r>
      <w:r w:rsidR="00E915AF" w:rsidRPr="00A114DC">
        <w:rPr>
          <w:rFonts w:eastAsia="Calibri"/>
          <w:sz w:val="24"/>
          <w:szCs w:val="24"/>
          <w:lang w:eastAsia="en-US"/>
        </w:rPr>
        <w:t>Znak: IN)</w:t>
      </w:r>
      <w:r w:rsidR="00537F07" w:rsidRPr="00A114DC">
        <w:rPr>
          <w:rFonts w:eastAsia="Calibri"/>
          <w:sz w:val="24"/>
          <w:szCs w:val="24"/>
          <w:lang w:eastAsia="en-US"/>
        </w:rPr>
        <w:t>”;</w:t>
      </w:r>
    </w:p>
    <w:p w:rsidR="00926754" w:rsidRPr="00A114DC" w:rsidRDefault="00926754" w:rsidP="00E915A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>§18 ust. 5 otrzymuje brzmienie:</w:t>
      </w:r>
    </w:p>
    <w:p w:rsidR="00926754" w:rsidRPr="00A114DC" w:rsidRDefault="00926754" w:rsidP="00E915AF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>„</w:t>
      </w:r>
      <w:r w:rsidR="00E915AF" w:rsidRPr="00A114DC">
        <w:rPr>
          <w:rFonts w:eastAsia="Calibri"/>
          <w:sz w:val="24"/>
          <w:szCs w:val="24"/>
          <w:lang w:eastAsia="en-US"/>
        </w:rPr>
        <w:t xml:space="preserve"> 5. Pełnomocnikowi ds. ochrony informacji niejawnych podlegają:</w:t>
      </w:r>
    </w:p>
    <w:p w:rsidR="00E915AF" w:rsidRPr="00A114DC" w:rsidRDefault="00E915AF" w:rsidP="00E915A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>stanowisko ds. kancelarii specjalnej;</w:t>
      </w:r>
    </w:p>
    <w:p w:rsidR="00E915AF" w:rsidRPr="00A114DC" w:rsidRDefault="00E915AF" w:rsidP="00E915A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>stanowisko ds. bezpi</w:t>
      </w:r>
      <w:r w:rsidR="00537F07" w:rsidRPr="00A114DC">
        <w:rPr>
          <w:rFonts w:eastAsia="Calibri"/>
          <w:sz w:val="24"/>
          <w:szCs w:val="24"/>
          <w:lang w:eastAsia="en-US"/>
        </w:rPr>
        <w:t>eczeństwa teleinformatycznego”;</w:t>
      </w:r>
    </w:p>
    <w:p w:rsidR="00926754" w:rsidRPr="00A114DC" w:rsidRDefault="00926754" w:rsidP="00E915A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sz w:val="24"/>
          <w:szCs w:val="24"/>
          <w:lang w:eastAsia="en-US"/>
        </w:rPr>
        <w:t xml:space="preserve">w §19 </w:t>
      </w:r>
      <w:proofErr w:type="spellStart"/>
      <w:r w:rsidRPr="00A114DC">
        <w:rPr>
          <w:rFonts w:eastAsia="Calibri"/>
          <w:sz w:val="24"/>
          <w:szCs w:val="24"/>
          <w:lang w:eastAsia="en-US"/>
        </w:rPr>
        <w:t>pkt</w:t>
      </w:r>
      <w:proofErr w:type="spellEnd"/>
      <w:r w:rsidRPr="00A114DC">
        <w:rPr>
          <w:rFonts w:eastAsia="Calibri"/>
          <w:sz w:val="24"/>
          <w:szCs w:val="24"/>
          <w:lang w:eastAsia="en-US"/>
        </w:rPr>
        <w:t xml:space="preserve"> </w:t>
      </w:r>
      <w:r w:rsidR="00327948" w:rsidRPr="00A114DC">
        <w:rPr>
          <w:rFonts w:eastAsia="Calibri"/>
          <w:sz w:val="24"/>
          <w:szCs w:val="24"/>
          <w:lang w:eastAsia="en-US"/>
        </w:rPr>
        <w:t xml:space="preserve">2 </w:t>
      </w:r>
      <w:r w:rsidRPr="00A114DC">
        <w:rPr>
          <w:rFonts w:eastAsia="Calibri"/>
          <w:sz w:val="24"/>
          <w:szCs w:val="24"/>
          <w:lang w:eastAsia="en-US"/>
        </w:rPr>
        <w:t>otrzymuje brzmienie:</w:t>
      </w:r>
    </w:p>
    <w:p w:rsidR="00926754" w:rsidRPr="00A114DC" w:rsidRDefault="00926754" w:rsidP="00E915AF">
      <w:pPr>
        <w:pStyle w:val="Akapitzlist"/>
        <w:ind w:left="426"/>
        <w:jc w:val="both"/>
        <w:rPr>
          <w:sz w:val="24"/>
          <w:szCs w:val="24"/>
        </w:rPr>
      </w:pPr>
      <w:r w:rsidRPr="00A114DC">
        <w:rPr>
          <w:rFonts w:eastAsia="Calibri"/>
          <w:sz w:val="24"/>
          <w:szCs w:val="24"/>
          <w:lang w:eastAsia="en-US"/>
        </w:rPr>
        <w:t xml:space="preserve">„ 2) </w:t>
      </w:r>
      <w:r w:rsidRPr="00A114DC">
        <w:rPr>
          <w:sz w:val="24"/>
          <w:szCs w:val="24"/>
        </w:rPr>
        <w:t>Referat Finansowy: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Skarbnik Gminy – Kierownik Referatu,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Zastępca Głównego Księgowego - Zastępca Kierownika Referatu,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ds. wymiaru podatków i opłat,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ds. poboru i windykacji zobowiązań finansowych,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ds. płac,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ds. księgowości.</w:t>
      </w:r>
    </w:p>
    <w:p w:rsidR="00926754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kasjer,</w:t>
      </w:r>
    </w:p>
    <w:p w:rsidR="00E915AF" w:rsidRPr="00A114DC" w:rsidRDefault="00926754" w:rsidP="00D41B73">
      <w:pPr>
        <w:pStyle w:val="Akapitzlist"/>
        <w:numPr>
          <w:ilvl w:val="0"/>
          <w:numId w:val="3"/>
        </w:numPr>
        <w:ind w:left="851" w:hanging="283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inkasenci”;</w:t>
      </w:r>
    </w:p>
    <w:p w:rsidR="002C74E6" w:rsidRPr="00A114DC" w:rsidRDefault="00E915AF" w:rsidP="00E915AF">
      <w:pPr>
        <w:jc w:val="both"/>
        <w:rPr>
          <w:sz w:val="24"/>
          <w:szCs w:val="24"/>
        </w:rPr>
      </w:pPr>
      <w:r w:rsidRPr="00A114DC">
        <w:rPr>
          <w:sz w:val="24"/>
          <w:szCs w:val="24"/>
        </w:rPr>
        <w:t xml:space="preserve">4) </w:t>
      </w:r>
      <w:r w:rsidR="002C74E6" w:rsidRPr="00A114DC">
        <w:rPr>
          <w:sz w:val="24"/>
          <w:szCs w:val="24"/>
        </w:rPr>
        <w:t>dodaje się § 19</w:t>
      </w:r>
      <w:r w:rsidR="002C74E6" w:rsidRPr="00A114DC">
        <w:rPr>
          <w:sz w:val="24"/>
          <w:szCs w:val="24"/>
          <w:vertAlign w:val="superscript"/>
        </w:rPr>
        <w:t>1</w:t>
      </w:r>
      <w:r w:rsidR="002C74E6" w:rsidRPr="00A114DC">
        <w:rPr>
          <w:sz w:val="24"/>
          <w:szCs w:val="24"/>
        </w:rPr>
        <w:t xml:space="preserve"> w brzmieniu:</w:t>
      </w:r>
    </w:p>
    <w:p w:rsidR="00E915AF" w:rsidRPr="00A114DC" w:rsidRDefault="00E915AF" w:rsidP="00E915AF">
      <w:pPr>
        <w:ind w:left="284"/>
        <w:rPr>
          <w:rStyle w:val="apple-style-span"/>
          <w:sz w:val="24"/>
          <w:szCs w:val="24"/>
        </w:rPr>
      </w:pPr>
      <w:r w:rsidRPr="00A114DC">
        <w:rPr>
          <w:sz w:val="24"/>
          <w:szCs w:val="24"/>
        </w:rPr>
        <w:t>„</w:t>
      </w:r>
      <w:r w:rsidRPr="00A114DC">
        <w:rPr>
          <w:rStyle w:val="apple-style-span"/>
          <w:sz w:val="24"/>
          <w:szCs w:val="24"/>
        </w:rPr>
        <w:t>1. Zespół  ds. Ochrony Informacji Niejawnych jest wyspecjalizowaną komórką organizacyjną zajmującą się ochroną informacji niejawnych.</w:t>
      </w:r>
    </w:p>
    <w:p w:rsidR="00E915AF" w:rsidRPr="00A114DC" w:rsidRDefault="00E915AF" w:rsidP="00E915AF">
      <w:pPr>
        <w:ind w:left="284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2.  W skład Zespołu ds. Ochrony Informacji Niejawnych wchodzą:</w:t>
      </w:r>
    </w:p>
    <w:p w:rsidR="00E915AF" w:rsidRPr="00A114DC" w:rsidRDefault="00E915AF" w:rsidP="00E915AF">
      <w:pPr>
        <w:ind w:left="284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1) Pełnomocnik ds. Ochrony Informacji Niejawnych,</w:t>
      </w:r>
    </w:p>
    <w:p w:rsidR="00E915AF" w:rsidRPr="00A114DC" w:rsidRDefault="00E915AF" w:rsidP="00E915AF">
      <w:pPr>
        <w:ind w:left="284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 xml:space="preserve">2)  Kierownik Kancelarii Specjalnej, </w:t>
      </w:r>
    </w:p>
    <w:p w:rsidR="00E915AF" w:rsidRPr="00A114DC" w:rsidRDefault="00E915AF" w:rsidP="00E915AF">
      <w:pPr>
        <w:ind w:left="284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 xml:space="preserve">3)  Inspektor Bezpieczeństwa Teleinformatycznego. </w:t>
      </w:r>
    </w:p>
    <w:p w:rsidR="00E915AF" w:rsidRPr="00A114DC" w:rsidRDefault="00E915AF" w:rsidP="00E915AF">
      <w:pPr>
        <w:ind w:left="284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3. W Zespole tworzy się kancelarię specjalną podległą bezpośrednio Pełnomocnikowi ds. Ochrony Informacji Nie</w:t>
      </w:r>
      <w:r w:rsidR="00327948" w:rsidRPr="00A114DC">
        <w:rPr>
          <w:rStyle w:val="apple-style-span"/>
          <w:sz w:val="24"/>
          <w:szCs w:val="24"/>
        </w:rPr>
        <w:t xml:space="preserve">jawnych, który sprawuje </w:t>
      </w:r>
      <w:r w:rsidRPr="00A114DC">
        <w:rPr>
          <w:rStyle w:val="apple-style-span"/>
          <w:sz w:val="24"/>
          <w:szCs w:val="24"/>
        </w:rPr>
        <w:t>nadzór</w:t>
      </w:r>
      <w:r w:rsidR="00327948" w:rsidRPr="00A114DC">
        <w:rPr>
          <w:rStyle w:val="apple-style-span"/>
          <w:sz w:val="24"/>
          <w:szCs w:val="24"/>
        </w:rPr>
        <w:t xml:space="preserve"> nad działalnością kancelarii</w:t>
      </w:r>
      <w:r w:rsidRPr="00A114DC">
        <w:rPr>
          <w:rStyle w:val="apple-style-span"/>
          <w:sz w:val="24"/>
          <w:szCs w:val="24"/>
        </w:rPr>
        <w:t>.</w:t>
      </w:r>
      <w:r w:rsidRPr="00A114DC">
        <w:rPr>
          <w:sz w:val="24"/>
          <w:szCs w:val="24"/>
        </w:rPr>
        <w:br/>
      </w:r>
      <w:r w:rsidRPr="00A114DC">
        <w:rPr>
          <w:rStyle w:val="apple-style-span"/>
          <w:sz w:val="24"/>
          <w:szCs w:val="24"/>
        </w:rPr>
        <w:t>4. Kancelarią kieruje Kierownik Kancelarii Specjalnej, wyznaczony przez Wójta”.</w:t>
      </w:r>
    </w:p>
    <w:p w:rsidR="00860E80" w:rsidRPr="00A114DC" w:rsidRDefault="00D41B73" w:rsidP="00860E80">
      <w:pPr>
        <w:jc w:val="both"/>
        <w:rPr>
          <w:sz w:val="24"/>
          <w:szCs w:val="24"/>
        </w:rPr>
      </w:pPr>
      <w:r w:rsidRPr="00A114DC">
        <w:rPr>
          <w:sz w:val="24"/>
          <w:szCs w:val="24"/>
        </w:rPr>
        <w:t>5</w:t>
      </w:r>
      <w:r w:rsidR="00860E80" w:rsidRPr="00A114DC">
        <w:rPr>
          <w:sz w:val="24"/>
          <w:szCs w:val="24"/>
        </w:rPr>
        <w:t xml:space="preserve">) w § 23 dodaje się </w:t>
      </w:r>
      <w:proofErr w:type="spellStart"/>
      <w:r w:rsidR="00860E80" w:rsidRPr="00A114DC">
        <w:rPr>
          <w:sz w:val="24"/>
          <w:szCs w:val="24"/>
        </w:rPr>
        <w:t>pk-y</w:t>
      </w:r>
      <w:proofErr w:type="spellEnd"/>
      <w:r w:rsidR="00860E80" w:rsidRPr="00A114DC">
        <w:rPr>
          <w:sz w:val="24"/>
          <w:szCs w:val="24"/>
        </w:rPr>
        <w:t xml:space="preserve"> 10 i 11  w  brzmieniu:</w:t>
      </w:r>
    </w:p>
    <w:p w:rsidR="00860E80" w:rsidRPr="00A114DC" w:rsidRDefault="00860E80" w:rsidP="00860E80">
      <w:pPr>
        <w:ind w:left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„  10) prowadzenie spraw z za</w:t>
      </w:r>
      <w:r w:rsidR="00327948" w:rsidRPr="00A114DC">
        <w:rPr>
          <w:sz w:val="24"/>
          <w:szCs w:val="24"/>
        </w:rPr>
        <w:t>kresu nazewnictwa ulic i placów;</w:t>
      </w:r>
    </w:p>
    <w:p w:rsidR="00860E80" w:rsidRPr="00A114DC" w:rsidRDefault="00860E80" w:rsidP="00860E80">
      <w:pPr>
        <w:ind w:left="426"/>
        <w:jc w:val="both"/>
        <w:rPr>
          <w:sz w:val="24"/>
          <w:szCs w:val="24"/>
        </w:rPr>
      </w:pPr>
      <w:r w:rsidRPr="00A114DC">
        <w:rPr>
          <w:sz w:val="24"/>
          <w:szCs w:val="24"/>
        </w:rPr>
        <w:t xml:space="preserve"> 11) prowadzenie spraw związanych z numeracją budynków”.</w:t>
      </w:r>
    </w:p>
    <w:p w:rsidR="00860E80" w:rsidRPr="00A114DC" w:rsidRDefault="00D41B73" w:rsidP="00327948">
      <w:pPr>
        <w:jc w:val="both"/>
        <w:rPr>
          <w:rStyle w:val="apple-style-span"/>
          <w:sz w:val="24"/>
          <w:szCs w:val="24"/>
        </w:rPr>
      </w:pPr>
      <w:r w:rsidRPr="00A114DC">
        <w:rPr>
          <w:sz w:val="24"/>
          <w:szCs w:val="24"/>
        </w:rPr>
        <w:t>6</w:t>
      </w:r>
      <w:r w:rsidR="00860E80" w:rsidRPr="00A114DC">
        <w:rPr>
          <w:sz w:val="24"/>
          <w:szCs w:val="24"/>
        </w:rPr>
        <w:t xml:space="preserve">) w § 25 </w:t>
      </w:r>
      <w:proofErr w:type="spellStart"/>
      <w:r w:rsidR="00860E80" w:rsidRPr="00A114DC">
        <w:rPr>
          <w:sz w:val="24"/>
          <w:szCs w:val="24"/>
        </w:rPr>
        <w:t>pkt</w:t>
      </w:r>
      <w:proofErr w:type="spellEnd"/>
      <w:r w:rsidR="00860E80" w:rsidRPr="00A114DC">
        <w:rPr>
          <w:sz w:val="24"/>
          <w:szCs w:val="24"/>
        </w:rPr>
        <w:t xml:space="preserve"> 30 uchyla się lit. g, h.;</w:t>
      </w:r>
    </w:p>
    <w:p w:rsidR="00E915AF" w:rsidRPr="00A114DC" w:rsidRDefault="00D41B73" w:rsidP="00E915AF">
      <w:pPr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7</w:t>
      </w:r>
      <w:r w:rsidR="00E915AF" w:rsidRPr="00A114DC">
        <w:rPr>
          <w:rStyle w:val="apple-style-span"/>
          <w:sz w:val="24"/>
          <w:szCs w:val="24"/>
        </w:rPr>
        <w:t xml:space="preserve">) </w:t>
      </w:r>
      <w:r w:rsidR="00860E80" w:rsidRPr="00A114DC">
        <w:rPr>
          <w:rStyle w:val="apple-style-span"/>
          <w:sz w:val="24"/>
          <w:szCs w:val="24"/>
        </w:rPr>
        <w:t>§ 26 otrzymuje brzmienie:</w:t>
      </w:r>
    </w:p>
    <w:p w:rsidR="00D41B73" w:rsidRPr="00A114DC" w:rsidRDefault="00D41B73" w:rsidP="004252A0">
      <w:pPr>
        <w:ind w:left="284"/>
        <w:jc w:val="both"/>
        <w:rPr>
          <w:sz w:val="24"/>
          <w:szCs w:val="24"/>
        </w:rPr>
      </w:pPr>
    </w:p>
    <w:p w:rsidR="00D41B73" w:rsidRPr="00A114DC" w:rsidRDefault="00D41B73" w:rsidP="00D41B73">
      <w:pPr>
        <w:jc w:val="both"/>
        <w:rPr>
          <w:sz w:val="24"/>
          <w:szCs w:val="24"/>
        </w:rPr>
      </w:pPr>
      <w:r w:rsidRPr="00A114DC">
        <w:rPr>
          <w:sz w:val="24"/>
          <w:szCs w:val="24"/>
        </w:rPr>
        <w:t>„ 1. Do zadań Zespołu ds. Ochrony Informacji Niejawnych należy w szczególności: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zapewnienie ochrony informacji niejawnych, w tym ich ochrony fizycznej;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zapewnienie ochrony systemu teleinformatycznego do przetwarzania informacji niejawnych;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kontrola ochrony informacji niejawnych oraz przestrzegania przepisów o ochronie tych informacji;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okresowa kontrola ewidencji i obiegu dokumentów niejawnych w Urzędzie Gminy;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opracowanie planu ochrony informacji niejawnych w Urzędzie Gminy oraz jednostkach organizacyjnych Gminy i nadzorowanie jego realizacji;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szkolenie pracowników w zakresie ochrony informacji niejawnych;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przeprowadzanie zwykłych postępowań sprawdzających oraz wydawanie lub odmowa wydania poświadczeń bezpieczeństwa;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powiadamianie Wójta  o naruszeniu przepisów o ochronie informacji niejawnych w Urzędzie Gminy;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realizacja innych zadań wynikających z przepisów szczególnych.</w:t>
      </w:r>
    </w:p>
    <w:p w:rsidR="00D41B73" w:rsidRPr="00A114DC" w:rsidRDefault="00E915AF" w:rsidP="00D41B73">
      <w:pPr>
        <w:pStyle w:val="Akapitzlist"/>
        <w:numPr>
          <w:ilvl w:val="0"/>
          <w:numId w:val="7"/>
        </w:numPr>
        <w:ind w:left="567" w:hanging="283"/>
        <w:jc w:val="both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Do zakresu działania kancelarii specjalnej należy w szczególności: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prowadzenie dzienników, rejestrów i książek oraz rejestracja dokumentów niejawnych;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nadawanie i przyjmowanie przesyłek przekazywanych za pośrednictwem poczty specjalnej lub uprawnionego przewoźnika;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bezpośredni nadzór nad obiegiem dokumentów niejawnych w Urzędzie Gminy;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udostępnianie lub wydawanie dokumentów zawierających informacje niejawne osobom do tego uprawnionym;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kontrolowanie właściwego oznaczania dokumentów niejawnych wytwarzanych w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Urzędzie Gminy;</w:t>
      </w:r>
    </w:p>
    <w:p w:rsidR="00D41B73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egzekwowanie zwrotu wydanych dokumentów;</w:t>
      </w:r>
    </w:p>
    <w:p w:rsidR="00E915AF" w:rsidRPr="00A114DC" w:rsidRDefault="00D41B73" w:rsidP="00D41B73">
      <w:pPr>
        <w:pStyle w:val="Akapitzlist"/>
        <w:numPr>
          <w:ilvl w:val="1"/>
          <w:numId w:val="7"/>
        </w:numPr>
        <w:ind w:left="851" w:hanging="284"/>
        <w:jc w:val="both"/>
        <w:rPr>
          <w:rStyle w:val="apple-style-span"/>
          <w:sz w:val="24"/>
          <w:szCs w:val="24"/>
        </w:rPr>
      </w:pPr>
      <w:r w:rsidRPr="00A114DC">
        <w:rPr>
          <w:sz w:val="24"/>
          <w:szCs w:val="24"/>
        </w:rPr>
        <w:t>wykonywanie poleceń Pełnomocnika Ochrony Informacji Niejawnych.</w:t>
      </w:r>
    </w:p>
    <w:p w:rsidR="002C74E6" w:rsidRPr="00A114DC" w:rsidRDefault="00860E80" w:rsidP="00D41B73">
      <w:pPr>
        <w:ind w:left="567" w:hanging="283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3.</w:t>
      </w:r>
      <w:r w:rsidR="00D41B73" w:rsidRPr="00A114DC">
        <w:rPr>
          <w:rStyle w:val="apple-style-span"/>
          <w:sz w:val="24"/>
          <w:szCs w:val="24"/>
        </w:rPr>
        <w:t xml:space="preserve"> </w:t>
      </w:r>
      <w:r w:rsidR="002C74E6" w:rsidRPr="00A114DC">
        <w:rPr>
          <w:rStyle w:val="apple-style-span"/>
          <w:sz w:val="24"/>
          <w:szCs w:val="24"/>
        </w:rPr>
        <w:t>Do zadań Inspektora Bezpieczeństwa Teleinformatycznego należy weryfikacja i bieżąca kontrola zgodności funkcjonowania systemu teleinformatycznego ze szczególnymi wymaganiami bezpieczeństwa oraz przestrzegania procedur bezpiecznej eksploatacji</w:t>
      </w:r>
      <w:r w:rsidR="00CF292F" w:rsidRPr="00A114DC">
        <w:rPr>
          <w:rStyle w:val="apple-style-span"/>
          <w:sz w:val="24"/>
          <w:szCs w:val="24"/>
        </w:rPr>
        <w:t xml:space="preserve"> </w:t>
      </w:r>
      <w:r w:rsidR="002C74E6" w:rsidRPr="00A114DC">
        <w:rPr>
          <w:rStyle w:val="apple-style-span"/>
          <w:sz w:val="24"/>
          <w:szCs w:val="24"/>
        </w:rPr>
        <w:t>w tym:</w:t>
      </w:r>
    </w:p>
    <w:p w:rsidR="002C74E6" w:rsidRPr="00A114DC" w:rsidRDefault="002C74E6" w:rsidP="00D41B73">
      <w:pPr>
        <w:numPr>
          <w:ilvl w:val="0"/>
          <w:numId w:val="4"/>
        </w:numPr>
        <w:suppressAutoHyphens/>
        <w:ind w:left="851" w:hanging="284"/>
        <w:jc w:val="both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weryfikacja i bieżąca kontrola zgodności funkcjonowania systemu teleinformatycznego ze szczególnymi wymaganiami bezpieczeństwa oraz przestrzegania procedur bezpiecznej eksploatacji.</w:t>
      </w:r>
    </w:p>
    <w:p w:rsidR="002C74E6" w:rsidRPr="00A114DC" w:rsidRDefault="00CF292F" w:rsidP="00D41B73">
      <w:pPr>
        <w:numPr>
          <w:ilvl w:val="0"/>
          <w:numId w:val="4"/>
        </w:numPr>
        <w:spacing w:before="100" w:beforeAutospacing="1" w:after="100" w:afterAutospacing="1"/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k</w:t>
      </w:r>
      <w:r w:rsidR="002C74E6" w:rsidRPr="00A114DC">
        <w:rPr>
          <w:sz w:val="24"/>
          <w:szCs w:val="24"/>
        </w:rPr>
        <w:t>ontrola realizowania procedur bezpiecznej eksploatacji systemu(PBE)</w:t>
      </w:r>
    </w:p>
    <w:p w:rsidR="002C74E6" w:rsidRPr="00A114DC" w:rsidRDefault="00CF292F" w:rsidP="00D41B73">
      <w:pPr>
        <w:numPr>
          <w:ilvl w:val="0"/>
          <w:numId w:val="4"/>
        </w:numPr>
        <w:spacing w:before="100" w:beforeAutospacing="1" w:after="100" w:afterAutospacing="1"/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o</w:t>
      </w:r>
      <w:r w:rsidR="002C74E6" w:rsidRPr="00A114DC">
        <w:rPr>
          <w:sz w:val="24"/>
          <w:szCs w:val="24"/>
        </w:rPr>
        <w:t>rganizowanie i prowadzenie szkoleń z zakresu bezpieczeństwa teleinformatycznego.</w:t>
      </w:r>
    </w:p>
    <w:p w:rsidR="002C74E6" w:rsidRPr="00A114DC" w:rsidRDefault="002C74E6" w:rsidP="00D41B73">
      <w:pPr>
        <w:numPr>
          <w:ilvl w:val="0"/>
          <w:numId w:val="4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zapewnienie przestrzegania zasad ochrony informacji niejawnych przetwarzanych, przechowywanych i przesyłanych w systemie lub sieci teleinformatycznej, w tym za właściwy obieg dokumentów (wchodzących, wychodzących i nośników informacji);</w:t>
      </w:r>
    </w:p>
    <w:p w:rsidR="002C74E6" w:rsidRPr="00A114DC" w:rsidRDefault="002C74E6" w:rsidP="00D41B73">
      <w:pPr>
        <w:numPr>
          <w:ilvl w:val="0"/>
          <w:numId w:val="4"/>
        </w:numPr>
        <w:spacing w:before="100" w:beforeAutospacing="1" w:after="100" w:afterAutospacing="1"/>
        <w:ind w:left="851" w:hanging="284"/>
        <w:jc w:val="both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zapewnienie bezpieczeństwa fizycznego obszaru, w którym usytuowany jest system;</w:t>
      </w:r>
    </w:p>
    <w:p w:rsidR="002C74E6" w:rsidRPr="00A114DC" w:rsidRDefault="002C74E6" w:rsidP="00D41B73">
      <w:pPr>
        <w:numPr>
          <w:ilvl w:val="0"/>
          <w:numId w:val="4"/>
        </w:numPr>
        <w:spacing w:before="100" w:beforeAutospacing="1" w:after="100" w:afterAutospacing="1"/>
        <w:ind w:left="851" w:hanging="284"/>
        <w:jc w:val="both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>zapewnienie dostępu do systemu wyłącznie osobom mającym odpowiednie poświadczenie bezpieczeństwa;</w:t>
      </w:r>
    </w:p>
    <w:p w:rsidR="002C74E6" w:rsidRPr="00A114DC" w:rsidRDefault="002C74E6" w:rsidP="00D41B73">
      <w:pPr>
        <w:numPr>
          <w:ilvl w:val="0"/>
          <w:numId w:val="4"/>
        </w:numPr>
        <w:spacing w:before="100" w:beforeAutospacing="1" w:after="100" w:afterAutospacing="1"/>
        <w:ind w:left="851" w:hanging="284"/>
        <w:jc w:val="both"/>
        <w:rPr>
          <w:rStyle w:val="apple-style-span"/>
          <w:sz w:val="24"/>
          <w:szCs w:val="24"/>
        </w:rPr>
      </w:pPr>
      <w:r w:rsidRPr="00A114DC">
        <w:rPr>
          <w:rStyle w:val="apple-style-span"/>
          <w:sz w:val="24"/>
          <w:szCs w:val="24"/>
        </w:rPr>
        <w:t xml:space="preserve">organizację szkolenia użytkowników na temat ochrony informacji niejawnych przetwarzanych i przechowywanych w funkcjonujących systemach </w:t>
      </w:r>
    </w:p>
    <w:p w:rsidR="00D41B73" w:rsidRPr="00A114DC" w:rsidRDefault="002C74E6" w:rsidP="00D41B73">
      <w:pPr>
        <w:numPr>
          <w:ilvl w:val="0"/>
          <w:numId w:val="4"/>
        </w:numPr>
        <w:ind w:left="851" w:hanging="284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przedstawianie kierownikowi jednostki organizacyjnej wniosków i propozycji wynikających z oceny bezpieczeństwa systemów teleinformatycznych przetwarzających informacje niejawne.</w:t>
      </w:r>
    </w:p>
    <w:p w:rsidR="00CF292F" w:rsidRPr="00A114DC" w:rsidRDefault="00CF292F" w:rsidP="00D41B73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uchyla się § 27;</w:t>
      </w:r>
    </w:p>
    <w:p w:rsidR="00D41B73" w:rsidRPr="00A114DC" w:rsidRDefault="00D41B73" w:rsidP="00D41B73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114DC">
        <w:rPr>
          <w:sz w:val="24"/>
          <w:szCs w:val="24"/>
        </w:rPr>
        <w:t>schemat struktury organizacyjnej Urzędu Gminy Chełmża otrzymuje brzmienie jak w załączniku do uchwały.</w:t>
      </w:r>
    </w:p>
    <w:p w:rsidR="00F65E7E" w:rsidRPr="00A114DC" w:rsidRDefault="00F65E7E" w:rsidP="00E915A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65E7E" w:rsidRPr="00A114DC" w:rsidRDefault="00F65E7E" w:rsidP="00E915A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b/>
          <w:sz w:val="24"/>
          <w:szCs w:val="24"/>
          <w:lang w:eastAsia="en-US"/>
        </w:rPr>
        <w:t xml:space="preserve">§ 3. </w:t>
      </w:r>
      <w:r w:rsidRPr="00A114DC">
        <w:rPr>
          <w:rFonts w:eastAsia="Calibri"/>
          <w:sz w:val="24"/>
          <w:szCs w:val="24"/>
          <w:lang w:eastAsia="en-US"/>
        </w:rPr>
        <w:t>Wykonanie zarządzenia powierzam Sekretarzowi Gminy.</w:t>
      </w:r>
    </w:p>
    <w:p w:rsidR="00F65E7E" w:rsidRPr="00A114DC" w:rsidRDefault="00F65E7E" w:rsidP="00E915A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95532" w:rsidRPr="00A114DC" w:rsidRDefault="00F65E7E" w:rsidP="00CF292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114DC">
        <w:rPr>
          <w:rFonts w:eastAsia="Calibri"/>
          <w:b/>
          <w:sz w:val="24"/>
          <w:szCs w:val="24"/>
          <w:lang w:eastAsia="en-US"/>
        </w:rPr>
        <w:t>§ 4.</w:t>
      </w:r>
      <w:r w:rsidRPr="00A114DC">
        <w:rPr>
          <w:rFonts w:eastAsia="Calibri"/>
          <w:sz w:val="24"/>
          <w:szCs w:val="24"/>
          <w:lang w:eastAsia="en-US"/>
        </w:rPr>
        <w:t xml:space="preserve"> Zarządzenie wychodzi w </w:t>
      </w:r>
      <w:r w:rsidR="00CF292F" w:rsidRPr="00A114DC">
        <w:rPr>
          <w:rFonts w:eastAsia="Calibri"/>
          <w:sz w:val="24"/>
          <w:szCs w:val="24"/>
          <w:lang w:eastAsia="en-US"/>
        </w:rPr>
        <w:t>życie z dniem wydania.</w:t>
      </w:r>
    </w:p>
    <w:sectPr w:rsidR="00795532" w:rsidRPr="00A114DC" w:rsidSect="00CF292F">
      <w:pgSz w:w="11906" w:h="16838"/>
      <w:pgMar w:top="1560" w:right="1274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109"/>
    <w:multiLevelType w:val="hybridMultilevel"/>
    <w:tmpl w:val="7DE09D64"/>
    <w:lvl w:ilvl="0" w:tplc="A17EC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DF47AD"/>
    <w:multiLevelType w:val="hybridMultilevel"/>
    <w:tmpl w:val="3CD8B7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316639"/>
    <w:multiLevelType w:val="hybridMultilevel"/>
    <w:tmpl w:val="AC4A02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55AE6"/>
    <w:multiLevelType w:val="hybridMultilevel"/>
    <w:tmpl w:val="3A8E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60D3"/>
    <w:multiLevelType w:val="hybridMultilevel"/>
    <w:tmpl w:val="952E7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65E7E"/>
    <w:rsid w:val="00047931"/>
    <w:rsid w:val="000D1548"/>
    <w:rsid w:val="000F5CA7"/>
    <w:rsid w:val="002C74E6"/>
    <w:rsid w:val="00327948"/>
    <w:rsid w:val="004252A0"/>
    <w:rsid w:val="00537F07"/>
    <w:rsid w:val="00560CF1"/>
    <w:rsid w:val="00575CE2"/>
    <w:rsid w:val="00795532"/>
    <w:rsid w:val="007C42EA"/>
    <w:rsid w:val="00804CD2"/>
    <w:rsid w:val="00856185"/>
    <w:rsid w:val="00860E80"/>
    <w:rsid w:val="008654F7"/>
    <w:rsid w:val="008A1DBC"/>
    <w:rsid w:val="00926754"/>
    <w:rsid w:val="009C29BD"/>
    <w:rsid w:val="00A114DC"/>
    <w:rsid w:val="00B31563"/>
    <w:rsid w:val="00C439C6"/>
    <w:rsid w:val="00CF292F"/>
    <w:rsid w:val="00D41B73"/>
    <w:rsid w:val="00E915AF"/>
    <w:rsid w:val="00F6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5E7E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F65E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6754"/>
    <w:pPr>
      <w:ind w:left="720"/>
      <w:contextualSpacing/>
    </w:pPr>
  </w:style>
  <w:style w:type="character" w:customStyle="1" w:styleId="apple-style-span">
    <w:name w:val="apple-style-span"/>
    <w:rsid w:val="002C7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082B-653C-4CDA-8625-0C51335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Chelmza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EP. Pudo</cp:lastModifiedBy>
  <cp:revision>7</cp:revision>
  <cp:lastPrinted>2012-03-06T14:02:00Z</cp:lastPrinted>
  <dcterms:created xsi:type="dcterms:W3CDTF">2012-02-21T10:59:00Z</dcterms:created>
  <dcterms:modified xsi:type="dcterms:W3CDTF">2015-04-03T07:31:00Z</dcterms:modified>
</cp:coreProperties>
</file>