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374E2" w14:textId="77777777" w:rsidR="00C22B0A" w:rsidRDefault="00C22B0A" w:rsidP="00C22B0A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załącznik </w:t>
      </w:r>
    </w:p>
    <w:p w14:paraId="6867E0F5" w14:textId="4139601A" w:rsidR="00C22B0A" w:rsidRDefault="00C22B0A" w:rsidP="00C22B0A">
      <w:pPr>
        <w:tabs>
          <w:tab w:val="left" w:pos="7185"/>
        </w:tabs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 xml:space="preserve">do zarządzenia Nr </w:t>
      </w:r>
      <w:r w:rsidR="00642409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85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/24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>Wójta Gminy Chełmża</w:t>
      </w:r>
    </w:p>
    <w:p w14:paraId="742E158E" w14:textId="02DED3E2" w:rsidR="00C22B0A" w:rsidRDefault="00C22B0A" w:rsidP="00C22B0A">
      <w:pPr>
        <w:tabs>
          <w:tab w:val="left" w:pos="7185"/>
        </w:tabs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ab/>
        <w:t xml:space="preserve">z dnia </w:t>
      </w:r>
      <w:r w:rsidR="00642409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1 lipca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2024 r.</w:t>
      </w:r>
    </w:p>
    <w:p w14:paraId="26FDE0C6" w14:textId="77777777" w:rsidR="00C22B0A" w:rsidRDefault="00C22B0A" w:rsidP="00C22B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  <w:t>Wykaz niezabudowanej nieruchomości przeznaczonej do sprzedaży</w:t>
      </w:r>
    </w:p>
    <w:p w14:paraId="74A4CCE4" w14:textId="779CD42B" w:rsidR="00C22B0A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Na podstawie art. 35 ust. 1 i 2 ustawy z dnia 21 sierpnia 1997 r. o gospodarce nieruchomościami (Dz.U. z 2023 r. poz. 344 z późn.zm.), uchwały Nr XXX/242/13 Rady Gminy Chełmża z dnia 28 lutego 2013 r. w sprawie sprzedaży nieruchomości we wsi Bocień, zarządzenia Nr </w:t>
      </w:r>
      <w:r w:rsidR="00642409">
        <w:rPr>
          <w:rFonts w:ascii="Times New Roman" w:eastAsia="Times New Roman" w:hAnsi="Times New Roman"/>
          <w:kern w:val="0"/>
          <w:lang w:eastAsia="pl-PL"/>
          <w14:ligatures w14:val="none"/>
        </w:rPr>
        <w:t>83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/24 Wójta Gminy Chełmża z dnia </w:t>
      </w:r>
      <w:r w:rsidR="00642409">
        <w:rPr>
          <w:rFonts w:ascii="Times New Roman" w:eastAsia="Times New Roman" w:hAnsi="Times New Roman"/>
          <w:kern w:val="0"/>
          <w:lang w:eastAsia="pl-PL"/>
          <w14:ligatures w14:val="none"/>
        </w:rPr>
        <w:t>28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czerwca 2024 r. w sprawie ustalenia ceny wywoławczej w I przetargu na sprzedaż nieruchomości stanowiącej zasób nieruchomości Gminy Chełmża oraz zarządzenia Nr </w:t>
      </w:r>
      <w:r w:rsidR="00642409">
        <w:rPr>
          <w:rFonts w:ascii="Times New Roman" w:eastAsia="Times New Roman" w:hAnsi="Times New Roman"/>
          <w:kern w:val="0"/>
          <w:lang w:eastAsia="pl-PL"/>
          <w14:ligatures w14:val="none"/>
        </w:rPr>
        <w:t>85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/24 Wójta Gminy Chełmża z dnia </w:t>
      </w:r>
      <w:r w:rsidR="00642409">
        <w:rPr>
          <w:rFonts w:ascii="Times New Roman" w:eastAsia="Times New Roman" w:hAnsi="Times New Roman"/>
          <w:kern w:val="0"/>
          <w:lang w:eastAsia="pl-PL"/>
          <w14:ligatures w14:val="none"/>
        </w:rPr>
        <w:t>1 lipca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2024 r. w sprawie podania do publicznej wiadomości wykazu niezabudowanej nieruchomości  przeznaczonej do sprzedaży we wsi Bocień, </w:t>
      </w:r>
    </w:p>
    <w:p w14:paraId="7155332C" w14:textId="77777777" w:rsidR="00C22B0A" w:rsidRDefault="00C22B0A" w:rsidP="00C22B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</w:p>
    <w:p w14:paraId="6C9911FF" w14:textId="77777777" w:rsidR="00C22B0A" w:rsidRDefault="00C22B0A" w:rsidP="00C22B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  <w:t>Wójt Gminy Chełmża podaje do publicznej wiadomości wykaz niezabudowanej nieruchomości przeznaczonej do sprzedaży stanowiącej zasób nieruchomości Gminy Chełmża.</w:t>
      </w:r>
    </w:p>
    <w:p w14:paraId="47545CF2" w14:textId="77777777" w:rsidR="00C22B0A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lang w:eastAsia="pl-PL"/>
          <w14:ligatures w14:val="none"/>
        </w:rPr>
      </w:pPr>
    </w:p>
    <w:tbl>
      <w:tblPr>
        <w:tblW w:w="10290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18"/>
        <w:gridCol w:w="1718"/>
        <w:gridCol w:w="1244"/>
        <w:gridCol w:w="1485"/>
        <w:gridCol w:w="1198"/>
        <w:gridCol w:w="2430"/>
      </w:tblGrid>
      <w:tr w:rsidR="00C22B0A" w14:paraId="1728F9C9" w14:textId="77777777" w:rsidTr="00C22B0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CC1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7D9D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Oznaczenie  nieruchomości, opis</w:t>
            </w:r>
          </w:p>
          <w:p w14:paraId="45E1BE09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nieruchomości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C7C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Numer księgi wieczystej</w:t>
            </w:r>
          </w:p>
          <w:p w14:paraId="54D11306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CF0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Powierzchnia nieruchomości</w:t>
            </w:r>
          </w:p>
          <w:p w14:paraId="1A9E60A9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w  ha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F568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Rodzaj</w:t>
            </w:r>
          </w:p>
          <w:p w14:paraId="12497199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użytku</w:t>
            </w:r>
          </w:p>
          <w:p w14:paraId="2697B3C1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klasa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BD4B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Cena </w:t>
            </w:r>
          </w:p>
          <w:p w14:paraId="0385B958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294E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Przeznaczenie</w:t>
            </w:r>
          </w:p>
          <w:p w14:paraId="525161FD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nieruchomości</w:t>
            </w:r>
          </w:p>
        </w:tc>
      </w:tr>
      <w:tr w:rsidR="00C22B0A" w14:paraId="4076C20D" w14:textId="77777777" w:rsidTr="00C22B0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4374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BCC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C7E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EE22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5874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CA1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AB4F" w14:textId="77777777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</w:tr>
      <w:tr w:rsidR="00C22B0A" w14:paraId="006B4C90" w14:textId="77777777" w:rsidTr="00C22B0A">
        <w:trPr>
          <w:trHeight w:val="7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A16" w14:textId="77777777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C9EDE8" w14:textId="77777777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1.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4CD" w14:textId="2E45B6F2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Bocień</w:t>
            </w:r>
          </w:p>
          <w:p w14:paraId="0BFCD5F2" w14:textId="40EF54B9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działka nr </w:t>
            </w: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28/2</w:t>
            </w:r>
          </w:p>
          <w:p w14:paraId="7DA8649A" w14:textId="77777777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niezabudowana</w:t>
            </w:r>
          </w:p>
          <w:p w14:paraId="402850EC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B533A4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679" w14:textId="3EDE8AEF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TO1T/00054920/8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3F60" w14:textId="20837C1F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0,6400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39C" w14:textId="350DAC98" w:rsidR="00C22B0A" w:rsidRDefault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val="en-US" w:eastAsia="pl-PL"/>
                <w14:ligatures w14:val="none"/>
              </w:rPr>
              <w:t>RIIIb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  0,6400</w:t>
            </w:r>
          </w:p>
          <w:p w14:paraId="53AE10DF" w14:textId="77777777" w:rsidR="00C22B0A" w:rsidRDefault="00C22B0A" w:rsidP="00C2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1CB8" w14:textId="70466FDD" w:rsidR="00C22B0A" w:rsidRDefault="00C2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30 000,00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9349" w14:textId="77777777" w:rsidR="00C22B0A" w:rsidRDefault="00C22B0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Działka nie jest objęta miejscowym planem zagospodarowania przestrzennego, ani nie została dla niej wydana decyzja o warunkach zabudowy, w Studium uwarunkowań i kierunków zagospodarowania przestrzennego Gminy Chełmża przeznaczenie -  teren rolny o przewadze gruntów ornych.</w:t>
            </w:r>
          </w:p>
        </w:tc>
      </w:tr>
    </w:tbl>
    <w:p w14:paraId="2F64D94D" w14:textId="77777777" w:rsidR="00C22B0A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36DA2260" w14:textId="32FDAE68" w:rsidR="006405B1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Nieruchomość posiada dostęp do drogi </w:t>
      </w:r>
      <w:r w:rsidR="006405B1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gminnej Nr 100508C</w:t>
      </w:r>
      <w:r w:rsidR="00663F3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</w:t>
      </w:r>
      <w:r w:rsidR="006405B1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i drogi powiatowej Nr 2024C. Działka nieuzbrojona, w zasięgu sieci elektroenergetycznej i wodociągowej. </w:t>
      </w:r>
      <w:r w:rsidR="007C2F07">
        <w:rPr>
          <w:rFonts w:ascii="Times New Roman" w:eastAsia="Times New Roman" w:hAnsi="Times New Roman"/>
          <w:kern w:val="0"/>
          <w:lang w:eastAsia="pl-PL"/>
          <w14:ligatures w14:val="none"/>
        </w:rPr>
        <w:t>G</w:t>
      </w:r>
      <w:r w:rsidR="006405B1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runt nie jest uprawiany</w:t>
      </w:r>
      <w:r w:rsidR="006649B6">
        <w:rPr>
          <w:rFonts w:ascii="Times New Roman" w:eastAsia="Times New Roman" w:hAnsi="Times New Roman"/>
          <w:kern w:val="0"/>
          <w:lang w:eastAsia="pl-PL"/>
          <w14:ligatures w14:val="none"/>
        </w:rPr>
        <w:t>,</w:t>
      </w:r>
      <w:r w:rsidR="006405B1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stanowi odłóg, jest zakrzewiony i zadrzewiony.</w:t>
      </w:r>
    </w:p>
    <w:p w14:paraId="1F6BAB49" w14:textId="2E1E65AD" w:rsidR="00C22B0A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Osoby, którym przysługuje pierwszeństwo w nabyciu przedmiotowej nieruchomości na podstawie art. *34 ust. 1 pkt 1 i 2 ustawy z dnia 21 sierpnia 1997 r. o gospodarce nieruchomościami, mogą składać wnioski do dnia </w:t>
      </w:r>
      <w:r w:rsidR="00132FFB">
        <w:rPr>
          <w:rFonts w:ascii="Times New Roman" w:eastAsia="Times New Roman" w:hAnsi="Times New Roman"/>
          <w:kern w:val="0"/>
          <w:lang w:eastAsia="pl-PL"/>
          <w14:ligatures w14:val="none"/>
        </w:rPr>
        <w:t>16</w:t>
      </w:r>
      <w:r w:rsidR="007E7DEF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sierpnia 2024</w:t>
      </w: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r.</w:t>
      </w:r>
    </w:p>
    <w:p w14:paraId="7E70ADA8" w14:textId="77777777" w:rsidR="005E5863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Sprzedaż nieruchomości nastąpi </w:t>
      </w:r>
      <w:r w:rsidRPr="007A15F8">
        <w:rPr>
          <w:rFonts w:ascii="Times New Roman" w:eastAsia="Times New Roman" w:hAnsi="Times New Roman"/>
          <w:b/>
          <w:kern w:val="0"/>
          <w:lang w:eastAsia="pl-PL"/>
          <w14:ligatures w14:val="none"/>
        </w:rPr>
        <w:t>w drodze przetargu</w:t>
      </w: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ustnego </w:t>
      </w:r>
      <w:r w:rsidR="007E7DEF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nie</w:t>
      </w: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ograniczonego zgodnie z art. 37 ust. 1 ustawy o gospodarce nieruchomościami</w:t>
      </w:r>
      <w:r w:rsidR="005E5863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.</w:t>
      </w:r>
    </w:p>
    <w:p w14:paraId="36DCB31B" w14:textId="145B67B3" w:rsidR="00C22B0A" w:rsidRPr="007A15F8" w:rsidRDefault="007A15F8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Przy sprzedaży będą miały zastosowanie przepisy</w:t>
      </w:r>
      <w:r w:rsidR="00C22B0A"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ustawy z dnia 11 kwietnia 2003 r.  o kształtowaniu ustroju rolnego.</w:t>
      </w:r>
    </w:p>
    <w:p w14:paraId="4BCFE42E" w14:textId="77777777" w:rsidR="00C22B0A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Termin, miejsce i warunki przetargu zostaną podane do publicznej wiadomości w odrębnym ogłoszeniu.</w:t>
      </w:r>
    </w:p>
    <w:p w14:paraId="0171A80F" w14:textId="77777777" w:rsidR="00C22B0A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Szczegółowe informacje o sprzedaży nieruchomości można uzyskać w </w:t>
      </w:r>
      <w:r w:rsidRPr="007A15F8">
        <w:rPr>
          <w:rFonts w:ascii="Times New Roman" w:eastAsia="Times New Roman" w:hAnsi="Times New Roman"/>
          <w:b/>
          <w:kern w:val="0"/>
          <w:lang w:eastAsia="pl-PL"/>
          <w14:ligatures w14:val="none"/>
        </w:rPr>
        <w:t xml:space="preserve">Urzędzie Gminy Chełmża, ul. Wodna 2, tel. 56 675–60–76 lub 77 wew. 37 lub na stronie internetowej Gminy www.bip.gminachelmza.pl </w:t>
      </w: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>zakładka ”oferty inwestycyjne/nieruchomości”.</w:t>
      </w:r>
    </w:p>
    <w:p w14:paraId="0048F7C8" w14:textId="7FE22C8F" w:rsidR="00C22B0A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hAnsi="Times New Roman"/>
          <w:kern w:val="0"/>
          <w14:ligatures w14:val="none"/>
        </w:rPr>
        <w:t xml:space="preserve">Wykaz wywiesza się na okres 21 dni od dnia </w:t>
      </w:r>
      <w:r w:rsidR="00755C39">
        <w:rPr>
          <w:rFonts w:ascii="Times New Roman" w:hAnsi="Times New Roman"/>
          <w:kern w:val="0"/>
          <w14:ligatures w14:val="none"/>
        </w:rPr>
        <w:t>4</w:t>
      </w:r>
      <w:r w:rsidR="007A15F8" w:rsidRPr="007A15F8">
        <w:rPr>
          <w:rFonts w:ascii="Times New Roman" w:hAnsi="Times New Roman"/>
          <w:kern w:val="0"/>
          <w14:ligatures w14:val="none"/>
        </w:rPr>
        <w:t xml:space="preserve"> lipca 2024</w:t>
      </w:r>
      <w:r w:rsidRPr="007A15F8">
        <w:rPr>
          <w:rFonts w:ascii="Times New Roman" w:hAnsi="Times New Roman"/>
          <w:kern w:val="0"/>
          <w14:ligatures w14:val="none"/>
        </w:rPr>
        <w:t xml:space="preserve"> r. do dnia </w:t>
      </w:r>
      <w:r w:rsidR="00755C39">
        <w:rPr>
          <w:rFonts w:ascii="Times New Roman" w:hAnsi="Times New Roman"/>
          <w:kern w:val="0"/>
          <w14:ligatures w14:val="none"/>
        </w:rPr>
        <w:t>25</w:t>
      </w:r>
      <w:r w:rsidR="007A15F8" w:rsidRPr="007A15F8">
        <w:rPr>
          <w:rFonts w:ascii="Times New Roman" w:hAnsi="Times New Roman"/>
          <w:kern w:val="0"/>
          <w14:ligatures w14:val="none"/>
        </w:rPr>
        <w:t xml:space="preserve"> lipca 2024</w:t>
      </w:r>
      <w:r w:rsidRPr="007A15F8">
        <w:rPr>
          <w:rFonts w:ascii="Times New Roman" w:hAnsi="Times New Roman"/>
          <w:kern w:val="0"/>
          <w14:ligatures w14:val="none"/>
        </w:rPr>
        <w:t xml:space="preserve"> r.</w:t>
      </w:r>
    </w:p>
    <w:p w14:paraId="0A566D35" w14:textId="3C1BB410" w:rsidR="00C22B0A" w:rsidRPr="007A15F8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Chełmża, dnia </w:t>
      </w:r>
      <w:r w:rsidR="003E1A9C">
        <w:rPr>
          <w:rFonts w:ascii="Times New Roman" w:eastAsia="Times New Roman" w:hAnsi="Times New Roman"/>
          <w:kern w:val="0"/>
          <w:lang w:eastAsia="pl-PL"/>
          <w14:ligatures w14:val="none"/>
        </w:rPr>
        <w:t>1 lipca</w:t>
      </w:r>
      <w:r w:rsidRPr="007A15F8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2024 r.</w:t>
      </w:r>
    </w:p>
    <w:p w14:paraId="30A8360C" w14:textId="77777777" w:rsidR="00C22B0A" w:rsidRPr="007A15F8" w:rsidRDefault="00C22B0A" w:rsidP="00C22B0A">
      <w:pPr>
        <w:spacing w:line="252" w:lineRule="auto"/>
        <w:jc w:val="both"/>
        <w:rPr>
          <w:kern w:val="0"/>
          <w14:ligatures w14:val="none"/>
        </w:rPr>
      </w:pPr>
    </w:p>
    <w:p w14:paraId="402E49BE" w14:textId="77777777" w:rsidR="00C22B0A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*art. 34.1.  W przypadku zbywania nieruchomości osobom fizycznym i prawnym pierwszeństwo w ich nabyciu, z zastrzeżeniem art. 216a, przysługuje osobie, która spełnia jeden z następujących warunków:</w:t>
      </w:r>
    </w:p>
    <w:p w14:paraId="4ACFE0A1" w14:textId="77777777" w:rsidR="00C22B0A" w:rsidRDefault="00C22B0A" w:rsidP="00C22B0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 xml:space="preserve">1) przysługuje jej roszczenie o nabycie nieruchomości z mocy niniejszej ustawy lub odrębnych </w:t>
      </w:r>
      <w:hyperlink r:id="rId4" w:anchor="/search-hypertext/16798871_art(34)_1?pit=2019-09-11" w:tgtFrame="_blank" w:history="1">
        <w:r w:rsidRPr="00642409">
          <w:rPr>
            <w:rStyle w:val="Hipercze"/>
            <w:rFonts w:ascii="Times New Roman" w:eastAsia="Times New Roman" w:hAnsi="Times New Roman"/>
            <w:color w:val="auto"/>
            <w:kern w:val="0"/>
            <w:sz w:val="18"/>
            <w:szCs w:val="18"/>
            <w:lang w:eastAsia="pl-PL"/>
            <w14:ligatures w14:val="none"/>
          </w:rPr>
          <w:t>przepisów</w:t>
        </w:r>
      </w:hyperlink>
      <w:r w:rsidRPr="00642409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jeżeli złoży wniosek o nabycie przed upływem terminu określonego w wykazie, o którym mowa w art. 35 ust. 1; termin złożenia wniosku nie może być krótszy niż 6 tygodni, licząc od dnia wywieszenia wykazu;</w:t>
      </w:r>
    </w:p>
    <w:p w14:paraId="23E95BD4" w14:textId="77777777" w:rsidR="00C22B0A" w:rsidRDefault="00C22B0A" w:rsidP="00C22B0A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2) jest poprzednim właścicielem zbywanej nieruchomości pozbawionym prawa własności tej nieruchomości przed dniem 5 grudnia 1990 r. albo jego spadkobiercą, jeżeli złoży wniosek o nabycie przed upływem terminu określonego w wykazie, o którym mowa w art. 35 ust. 1; termin złożenia wniosku nie może być krótszy niż 6 tygodni, licząc od dnia wywieszenia wykazu.</w:t>
      </w:r>
    </w:p>
    <w:p w14:paraId="3F75C427" w14:textId="5BC4EEB1" w:rsidR="00441116" w:rsidRDefault="00441116"/>
    <w:sectPr w:rsidR="00441116" w:rsidSect="00263E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0A"/>
    <w:rsid w:val="00132FFB"/>
    <w:rsid w:val="00224D1A"/>
    <w:rsid w:val="00263E27"/>
    <w:rsid w:val="002E28E4"/>
    <w:rsid w:val="003B77CD"/>
    <w:rsid w:val="003E1A9C"/>
    <w:rsid w:val="00441116"/>
    <w:rsid w:val="00471FBB"/>
    <w:rsid w:val="005E5863"/>
    <w:rsid w:val="006405B1"/>
    <w:rsid w:val="00642409"/>
    <w:rsid w:val="00663F38"/>
    <w:rsid w:val="006649B6"/>
    <w:rsid w:val="00755C39"/>
    <w:rsid w:val="00783886"/>
    <w:rsid w:val="007A15F8"/>
    <w:rsid w:val="007C2F07"/>
    <w:rsid w:val="007E7DEF"/>
    <w:rsid w:val="007F3B06"/>
    <w:rsid w:val="00A5403C"/>
    <w:rsid w:val="00B77DF6"/>
    <w:rsid w:val="00C22B0A"/>
    <w:rsid w:val="00C404A7"/>
    <w:rsid w:val="00FA26B4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11A5"/>
  <w15:chartTrackingRefBased/>
  <w15:docId w15:val="{B2E0B723-E34E-4DA3-9695-F8A71577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B0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2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9</cp:revision>
  <cp:lastPrinted>2024-07-01T06:54:00Z</cp:lastPrinted>
  <dcterms:created xsi:type="dcterms:W3CDTF">2024-06-25T12:08:00Z</dcterms:created>
  <dcterms:modified xsi:type="dcterms:W3CDTF">2024-07-01T07:39:00Z</dcterms:modified>
</cp:coreProperties>
</file>